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E" w:rsidRPr="00EE659E" w:rsidRDefault="00EE659E" w:rsidP="00EE659E">
      <w:pPr>
        <w:spacing w:line="276" w:lineRule="auto"/>
        <w:jc w:val="center"/>
        <w:rPr>
          <w:b/>
          <w:noProof/>
          <w:lang w:val="sr-Latn-CS"/>
        </w:rPr>
      </w:pPr>
    </w:p>
    <w:p w:rsidR="00EE659E" w:rsidRPr="00EE659E" w:rsidRDefault="00EE659E" w:rsidP="00EE659E">
      <w:pPr>
        <w:spacing w:line="276" w:lineRule="auto"/>
        <w:jc w:val="center"/>
        <w:rPr>
          <w:b/>
          <w:noProof/>
          <w:lang w:val="sr-Latn-CS"/>
        </w:rPr>
      </w:pPr>
    </w:p>
    <w:p w:rsidR="00663D17" w:rsidRDefault="00EE659E" w:rsidP="00EE659E">
      <w:pPr>
        <w:spacing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Pr="00EE659E">
        <w:rPr>
          <w:b/>
          <w:noProof/>
          <w:lang w:val="sr-Latn-CS"/>
        </w:rPr>
        <w:t xml:space="preserve"> </w:t>
      </w:r>
    </w:p>
    <w:p w:rsidR="00EE659E" w:rsidRPr="00EE659E" w:rsidRDefault="00EE659E" w:rsidP="00663D17">
      <w:pPr>
        <w:spacing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EE659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EE659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EE659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EE659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REPUBLIČKOJ</w:t>
      </w:r>
      <w:r w:rsidRPr="00EE659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UPRAVI</w:t>
      </w:r>
    </w:p>
    <w:p w:rsidR="00EE659E" w:rsidRPr="00EE659E" w:rsidRDefault="00EE659E" w:rsidP="00EE659E">
      <w:pPr>
        <w:spacing w:line="276" w:lineRule="auto"/>
        <w:rPr>
          <w:b/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EE659E">
        <w:rPr>
          <w:noProof/>
          <w:lang w:val="sr-Latn-CS"/>
        </w:rPr>
        <w:t xml:space="preserve"> 1.</w:t>
      </w: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E659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E659E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EE659E">
        <w:rPr>
          <w:noProof/>
          <w:lang w:val="sr-Latn-CS"/>
        </w:rPr>
        <w:t xml:space="preserve">. 115/18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111/21)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EE659E">
        <w:rPr>
          <w:noProof/>
          <w:lang w:val="sr-Latn-CS"/>
        </w:rPr>
        <w:t xml:space="preserve"> 39.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EE659E">
        <w:rPr>
          <w:noProof/>
          <w:lang w:val="sr-Latn-CS"/>
        </w:rPr>
        <w:t xml:space="preserve"> 20) </w:t>
      </w:r>
      <w:r>
        <w:rPr>
          <w:noProof/>
          <w:lang w:val="sr-Latn-CS"/>
        </w:rPr>
        <w:t>poslije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EE659E">
        <w:rPr>
          <w:noProof/>
          <w:lang w:val="sr-Latn-CS"/>
        </w:rPr>
        <w:t>: „</w:t>
      </w:r>
      <w:r>
        <w:rPr>
          <w:noProof/>
          <w:lang w:val="sr-Latn-CS"/>
        </w:rPr>
        <w:t>investicije</w:t>
      </w:r>
      <w:r w:rsidRPr="00EE659E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EE659E">
        <w:rPr>
          <w:noProof/>
          <w:lang w:val="sr-Latn-CS"/>
        </w:rPr>
        <w:t xml:space="preserve"> 21)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EE659E">
        <w:rPr>
          <w:noProof/>
          <w:lang w:val="sr-Latn-CS"/>
        </w:rPr>
        <w:t>:</w:t>
      </w:r>
    </w:p>
    <w:p w:rsidR="00EE659E" w:rsidRPr="00EE659E" w:rsidRDefault="00EE659E" w:rsidP="00EE659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EE659E">
        <w:rPr>
          <w:noProof/>
          <w:lang w:val="sr-Latn-CS"/>
        </w:rPr>
        <w:t xml:space="preserve">„21) </w:t>
      </w:r>
      <w:r>
        <w:rPr>
          <w:noProof/>
          <w:lang w:val="sr-Latn-CS"/>
        </w:rPr>
        <w:t>Agencija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E659E">
        <w:rPr>
          <w:noProof/>
          <w:lang w:val="sr-Latn-CS"/>
        </w:rPr>
        <w:t>“.</w:t>
      </w:r>
    </w:p>
    <w:p w:rsidR="00EE659E" w:rsidRPr="00EE659E" w:rsidRDefault="00EE659E" w:rsidP="00EE659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EE659E">
        <w:rPr>
          <w:noProof/>
          <w:lang w:val="sr-Latn-CS"/>
        </w:rPr>
        <w:t xml:space="preserve"> 2.</w:t>
      </w: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E659E">
        <w:rPr>
          <w:noProof/>
          <w:lang w:val="sr-Latn-CS"/>
        </w:rPr>
        <w:t xml:space="preserve"> 58</w:t>
      </w:r>
      <w:r>
        <w:rPr>
          <w:noProof/>
          <w:lang w:val="sr-Latn-CS"/>
        </w:rPr>
        <w:t>a</w:t>
      </w:r>
      <w:r w:rsidRPr="00EE659E">
        <w:rPr>
          <w:noProof/>
          <w:lang w:val="sr-Latn-CS"/>
        </w:rPr>
        <w:t xml:space="preserve">. </w:t>
      </w:r>
      <w:r>
        <w:rPr>
          <w:noProof/>
          <w:lang w:val="sr-Latn-CS"/>
        </w:rPr>
        <w:t>dodaje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EE659E">
        <w:rPr>
          <w:noProof/>
          <w:lang w:val="sr-Latn-CS"/>
        </w:rPr>
        <w:t xml:space="preserve"> 58</w:t>
      </w:r>
      <w:r>
        <w:rPr>
          <w:noProof/>
          <w:lang w:val="sr-Latn-CS"/>
        </w:rPr>
        <w:t>b</w:t>
      </w:r>
      <w:r w:rsidRPr="00EE659E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EE659E">
        <w:rPr>
          <w:noProof/>
          <w:lang w:val="sr-Latn-CS"/>
        </w:rPr>
        <w:t>:</w:t>
      </w: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  <w:r w:rsidRPr="00EE659E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EE659E">
        <w:rPr>
          <w:noProof/>
          <w:lang w:val="sr-Latn-CS"/>
        </w:rPr>
        <w:t xml:space="preserve"> 58</w:t>
      </w:r>
      <w:r>
        <w:rPr>
          <w:noProof/>
          <w:lang w:val="sr-Latn-CS"/>
        </w:rPr>
        <w:t>b</w:t>
      </w:r>
      <w:r w:rsidRPr="00EE659E">
        <w:rPr>
          <w:noProof/>
          <w:lang w:val="sr-Latn-CS"/>
        </w:rPr>
        <w:t>.</w:t>
      </w: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EE659E">
        <w:rPr>
          <w:noProof/>
          <w:lang w:val="sr-Latn-CS"/>
        </w:rPr>
        <w:t xml:space="preserve">(1) </w:t>
      </w:r>
      <w:r>
        <w:rPr>
          <w:noProof/>
          <w:lang w:val="sr-Latn-CS"/>
        </w:rPr>
        <w:t>Agencija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obnovu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njeno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laboratorijskog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EE659E">
        <w:rPr>
          <w:noProof/>
          <w:lang w:val="sr-Latn-CS"/>
        </w:rPr>
        <w:t xml:space="preserve"> (</w:t>
      </w:r>
      <w:r>
        <w:rPr>
          <w:noProof/>
          <w:lang w:val="sr-Latn-CS"/>
        </w:rPr>
        <w:t>proizvođačke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veledrogerijske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Pr="00EE659E">
        <w:rPr>
          <w:noProof/>
          <w:lang w:val="sr-Latn-CS"/>
        </w:rPr>
        <w:t>-</w:t>
      </w:r>
      <w:r>
        <w:rPr>
          <w:noProof/>
          <w:lang w:val="sr-Latn-CS"/>
        </w:rPr>
        <w:t>laboratorijske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EE659E">
        <w:rPr>
          <w:noProof/>
          <w:lang w:val="sr-Latn-CS"/>
        </w:rPr>
        <w:t xml:space="preserve">), </w:t>
      </w:r>
      <w:r>
        <w:rPr>
          <w:noProof/>
          <w:lang w:val="sr-Latn-CS"/>
        </w:rPr>
        <w:t>prijavljivanje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EE659E">
        <w:rPr>
          <w:noProof/>
          <w:lang w:val="sr-Latn-CS"/>
        </w:rPr>
        <w:t xml:space="preserve"> (</w:t>
      </w:r>
      <w:r>
        <w:rPr>
          <w:noProof/>
          <w:lang w:val="sr-Latn-CS"/>
        </w:rPr>
        <w:t>dobra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veledrogerijska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EE659E">
        <w:rPr>
          <w:noProof/>
          <w:lang w:val="sr-Latn-CS"/>
        </w:rPr>
        <w:t xml:space="preserve">), </w:t>
      </w:r>
      <w:r>
        <w:rPr>
          <w:noProof/>
          <w:lang w:val="sr-Latn-CS"/>
        </w:rPr>
        <w:t>uspostavljanje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uvozu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spisak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efektima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opojnih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droga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psihotropnih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predlaganje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izdavanje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učestvovanje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upisana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, </w:t>
      </w:r>
      <w:r>
        <w:rPr>
          <w:noProof/>
          <w:lang w:val="sr-Latn-CS"/>
        </w:rPr>
        <w:t>podataka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E659E">
        <w:rPr>
          <w:noProof/>
          <w:lang w:val="sr-Latn-CS"/>
        </w:rPr>
        <w:t>.</w:t>
      </w:r>
    </w:p>
    <w:p w:rsidR="00EE659E" w:rsidRPr="00EE659E" w:rsidRDefault="00EE659E" w:rsidP="00EE659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EE659E">
        <w:rPr>
          <w:noProof/>
          <w:lang w:val="sr-Latn-CS"/>
        </w:rPr>
        <w:t xml:space="preserve">(2) </w:t>
      </w:r>
      <w:r>
        <w:rPr>
          <w:noProof/>
          <w:lang w:val="sr-Latn-CS"/>
        </w:rPr>
        <w:t>Agencija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E659E">
        <w:rPr>
          <w:noProof/>
          <w:lang w:val="sr-Latn-CS"/>
        </w:rPr>
        <w:t>.“</w:t>
      </w:r>
    </w:p>
    <w:p w:rsidR="00EE659E" w:rsidRPr="00EE659E" w:rsidRDefault="00EE659E" w:rsidP="00EE659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EE659E">
        <w:rPr>
          <w:noProof/>
          <w:lang w:val="sr-Latn-CS"/>
        </w:rPr>
        <w:t xml:space="preserve"> 3.</w:t>
      </w:r>
    </w:p>
    <w:p w:rsidR="00EE659E" w:rsidRPr="00EE659E" w:rsidRDefault="00EE659E" w:rsidP="00EE659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EE659E" w:rsidRPr="00EE659E" w:rsidRDefault="00EE659E" w:rsidP="00EE659E">
      <w:pPr>
        <w:spacing w:line="276" w:lineRule="auto"/>
        <w:jc w:val="both"/>
        <w:rPr>
          <w:noProof/>
          <w:lang w:val="sr-Latn-CS"/>
        </w:rPr>
      </w:pPr>
      <w:r w:rsidRPr="00EE659E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E659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E659E">
        <w:rPr>
          <w:noProof/>
          <w:lang w:val="sr-Latn-CS"/>
        </w:rPr>
        <w:t>“.</w:t>
      </w:r>
    </w:p>
    <w:p w:rsidR="00EE659E" w:rsidRPr="00EE659E" w:rsidRDefault="00EE659E" w:rsidP="00EE659E">
      <w:pPr>
        <w:spacing w:line="276" w:lineRule="auto"/>
        <w:rPr>
          <w:noProof/>
          <w:lang w:val="sr-Latn-CS"/>
        </w:rPr>
      </w:pPr>
    </w:p>
    <w:p w:rsidR="00EE659E" w:rsidRPr="00EE659E" w:rsidRDefault="00EE659E" w:rsidP="00EE659E">
      <w:pPr>
        <w:tabs>
          <w:tab w:val="left" w:pos="6570"/>
        </w:tabs>
        <w:jc w:val="both"/>
        <w:outlineLvl w:val="0"/>
        <w:rPr>
          <w:noProof/>
          <w:lang w:val="sr-Latn-CS"/>
        </w:rPr>
      </w:pPr>
    </w:p>
    <w:p w:rsidR="00EE659E" w:rsidRPr="00EE659E" w:rsidRDefault="00EE659E" w:rsidP="00EE659E">
      <w:pPr>
        <w:tabs>
          <w:tab w:val="left" w:pos="6570"/>
        </w:tabs>
        <w:jc w:val="both"/>
        <w:outlineLvl w:val="0"/>
        <w:rPr>
          <w:noProof/>
          <w:lang w:val="sr-Latn-CS"/>
        </w:rPr>
      </w:pPr>
    </w:p>
    <w:p w:rsidR="00EE659E" w:rsidRPr="00EE659E" w:rsidRDefault="00EE659E" w:rsidP="00EE659E">
      <w:pPr>
        <w:tabs>
          <w:tab w:val="left" w:pos="657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60182C">
        <w:rPr>
          <w:noProof/>
          <w:lang w:val="sr-Latn-CS"/>
        </w:rPr>
        <w:t>: 02/1-021-125</w:t>
      </w:r>
      <w:bookmarkStart w:id="0" w:name="_GoBack"/>
      <w:bookmarkEnd w:id="0"/>
      <w:r w:rsidRPr="00EE659E">
        <w:rPr>
          <w:noProof/>
          <w:lang w:val="sr-Latn-CS"/>
        </w:rPr>
        <w:t>/22</w:t>
      </w:r>
      <w:r w:rsidRPr="00EE659E">
        <w:rPr>
          <w:noProof/>
          <w:lang w:val="sr-Latn-CS"/>
        </w:rPr>
        <w:tab/>
        <w:t xml:space="preserve">       </w:t>
      </w:r>
      <w:r>
        <w:rPr>
          <w:noProof/>
          <w:lang w:val="sr-Latn-CS"/>
        </w:rPr>
        <w:t>PREDSJEDNIK</w:t>
      </w:r>
    </w:p>
    <w:p w:rsidR="00EE659E" w:rsidRPr="00EE659E" w:rsidRDefault="00EE659E" w:rsidP="00EE659E">
      <w:pPr>
        <w:tabs>
          <w:tab w:val="left" w:pos="612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EE659E">
        <w:rPr>
          <w:noProof/>
          <w:lang w:val="sr-Latn-CS"/>
        </w:rPr>
        <w:t xml:space="preserve">: 10. </w:t>
      </w:r>
      <w:r>
        <w:rPr>
          <w:noProof/>
          <w:lang w:val="sr-Latn-CS"/>
        </w:rPr>
        <w:t>februara</w:t>
      </w:r>
      <w:r w:rsidRPr="00EE659E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EE659E">
        <w:rPr>
          <w:noProof/>
          <w:lang w:val="sr-Latn-CS"/>
        </w:rPr>
        <w:tab/>
        <w:t xml:space="preserve">      </w:t>
      </w:r>
      <w:r>
        <w:rPr>
          <w:noProof/>
          <w:lang w:val="sr-Latn-CS"/>
        </w:rPr>
        <w:t>NARODNE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EE659E">
        <w:rPr>
          <w:noProof/>
          <w:lang w:val="sr-Latn-CS"/>
        </w:rPr>
        <w:t xml:space="preserve"> </w:t>
      </w:r>
    </w:p>
    <w:p w:rsidR="00EE659E" w:rsidRPr="00EE659E" w:rsidRDefault="00EE659E" w:rsidP="00EE659E">
      <w:pPr>
        <w:tabs>
          <w:tab w:val="left" w:pos="6300"/>
        </w:tabs>
        <w:jc w:val="both"/>
        <w:rPr>
          <w:noProof/>
          <w:lang w:val="sr-Latn-CS"/>
        </w:rPr>
      </w:pPr>
      <w:r w:rsidRPr="00EE659E">
        <w:rPr>
          <w:noProof/>
          <w:lang w:val="sr-Latn-CS"/>
        </w:rPr>
        <w:t xml:space="preserve">                                                                                                            </w:t>
      </w:r>
    </w:p>
    <w:p w:rsidR="00EE659E" w:rsidRPr="00EE659E" w:rsidRDefault="00EE659E" w:rsidP="00EE659E">
      <w:pPr>
        <w:tabs>
          <w:tab w:val="left" w:pos="6300"/>
        </w:tabs>
        <w:jc w:val="center"/>
        <w:rPr>
          <w:noProof/>
          <w:lang w:val="sr-Latn-CS"/>
        </w:rPr>
      </w:pPr>
      <w:r w:rsidRPr="00EE659E">
        <w:rPr>
          <w:noProof/>
          <w:lang w:val="sr-Latn-CS"/>
        </w:rPr>
        <w:t xml:space="preserve">                                                                                                          </w:t>
      </w:r>
      <w:r>
        <w:rPr>
          <w:noProof/>
          <w:lang w:val="sr-Latn-CS"/>
        </w:rPr>
        <w:t>Nedeljko</w:t>
      </w:r>
      <w:r w:rsidRPr="00EE659E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552D70" w:rsidRPr="00EE659E" w:rsidRDefault="00552D70">
      <w:pPr>
        <w:rPr>
          <w:lang w:val="sr-Latn-CS"/>
        </w:rPr>
      </w:pPr>
    </w:p>
    <w:sectPr w:rsidR="00552D70" w:rsidRPr="00EE659E" w:rsidSect="00C852A3">
      <w:footerReference w:type="even" r:id="rId7"/>
      <w:footerReference w:type="default" r:id="rId8"/>
      <w:pgSz w:w="12240" w:h="15840"/>
      <w:pgMar w:top="993" w:right="1183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5A" w:rsidRDefault="00E0405A">
      <w:r>
        <w:separator/>
      </w:r>
    </w:p>
  </w:endnote>
  <w:endnote w:type="continuationSeparator" w:id="0">
    <w:p w:rsidR="00E0405A" w:rsidRDefault="00E0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C3" w:rsidRDefault="00EE659E" w:rsidP="002528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13C3" w:rsidRDefault="00E0405A" w:rsidP="0025282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C3" w:rsidRDefault="00E0405A" w:rsidP="0025282B">
    <w:pPr>
      <w:pStyle w:val="Footer"/>
      <w:framePr w:wrap="around" w:vAnchor="text" w:hAnchor="margin" w:xAlign="right" w:y="1"/>
      <w:rPr>
        <w:rStyle w:val="PageNumber"/>
      </w:rPr>
    </w:pPr>
  </w:p>
  <w:p w:rsidR="00A113C3" w:rsidRDefault="00E0405A" w:rsidP="002528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5A" w:rsidRDefault="00E0405A">
      <w:r>
        <w:separator/>
      </w:r>
    </w:p>
  </w:footnote>
  <w:footnote w:type="continuationSeparator" w:id="0">
    <w:p w:rsidR="00E0405A" w:rsidRDefault="00E04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08"/>
    <w:rsid w:val="00552D70"/>
    <w:rsid w:val="0060182C"/>
    <w:rsid w:val="00663D17"/>
    <w:rsid w:val="006D618C"/>
    <w:rsid w:val="008E60ED"/>
    <w:rsid w:val="00962744"/>
    <w:rsid w:val="009B2308"/>
    <w:rsid w:val="009F564A"/>
    <w:rsid w:val="00A34DA6"/>
    <w:rsid w:val="00A36B20"/>
    <w:rsid w:val="00A6432B"/>
    <w:rsid w:val="00AB766B"/>
    <w:rsid w:val="00BF60DD"/>
    <w:rsid w:val="00DC0A39"/>
    <w:rsid w:val="00DD7D34"/>
    <w:rsid w:val="00E0405A"/>
    <w:rsid w:val="00E90017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65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E659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EE65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65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E659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EE6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2022-02-09T15:55:00Z</dcterms:created>
  <dcterms:modified xsi:type="dcterms:W3CDTF">2022-02-11T12:06:00Z</dcterms:modified>
</cp:coreProperties>
</file>